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Georgia;Times;Times New Roman;serif" w:hAnsi="Georgia;Times;Times New Roman;serif"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  <w:t>СТАРТУЕТ ПРОФЕССИОНАЛЬНЫЙ ТУРНИР ДЛЯ СПЕЦИАЛИСТОВ В СФЕРЕ ОХРАНЫ ТРУДА</w:t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Министерство труда и социальной защиты Российской Федерации по инициативе Правительства Кузбасса в лице Министерства труда и занятости населения Кузбасса проводит 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rFonts w:ascii="Times New Roman" w:hAnsi="Times New Roman"/>
          <w:color w:val="auto"/>
        </w:rPr>
        <w:instrText> HYPERLINK "https://tzb.team/Home/Index" \l "Tourney" \n _blank</w:instrTex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rFonts w:ascii="Times New Roman" w:hAnsi="Times New Roman"/>
          <w:color w:val="auto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single"/>
        </w:rPr>
        <w:t>Всероссийский открытый интеллектуальный турнир</w: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«Труд-Знания-Безопасность. Специалист в сфере охраны труда»</w:t>
      </w:r>
      <w:hyperlink r:id="rId2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8"/>
            <w:szCs w:val="28"/>
            <w:u w:val="single"/>
          </w:rPr>
          <w:t>.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С информацией о турнире можно ознакомиться в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8"/>
            <w:szCs w:val="28"/>
            <w:u w:val="single"/>
          </w:rPr>
          <w:t>Положении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Турнир проводиться в три этапа, два первых – в режиме онлайн, финал и церемония награждения победителей запланированы к проведению в рамках </w:t>
      </w:r>
      <w:hyperlink r:id="rId4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8"/>
            <w:szCs w:val="28"/>
            <w:u w:val="single"/>
          </w:rPr>
          <w:t>VIII Всероссийской недели охраны труда,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которая состоится с 26 по 29 сентября 2023 года в г. Сочи.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К участию в турнире приглашаются работники первичных, территориальных и региональных (межрегиональных) профсоюзных организаций.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Участие в турнире бесплатное, регистрация проводится на сайте 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rFonts w:ascii="Times New Roman" w:hAnsi="Times New Roman"/>
          <w:color w:val="auto"/>
        </w:rPr>
        <w:instrText> HYPERLINK "https://tzb.team/Home/Index" \l "Tourney" \n _blank</w:instrTex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rFonts w:ascii="Times New Roman" w:hAnsi="Times New Roman"/>
          <w:color w:val="auto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single"/>
        </w:rPr>
        <w:t>«Труд — Знания — Безопасность»</w: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</w:rPr>
        <w:t>до 8 августа 2023 года.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Призовой фонд турнира: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</w:rPr>
        <w:t>I место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– 100 000 руб.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</w:rPr>
        <w:t>II место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– 75 000 руб.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</w:rPr>
        <w:t>III место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– 50 000 руб.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В случае подачи заявки на участие в турнире просим председателей региональных (межрегиональных) организаций Профсоюза проинформировать </w:t>
      </w:r>
      <w:hyperlink r:id="rId5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8"/>
            <w:szCs w:val="28"/>
            <w:u w:val="single"/>
          </w:rPr>
          <w:t>департамент охраны труда и здоровья аппарата Профсоюза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об участии в данном мероприятии и сообщить о результатах с приложением фото/видеоотчетов.</w:t>
      </w:r>
    </w:p>
    <w:p>
      <w:pPr>
        <w:pStyle w:val="Normal"/>
        <w:spacing w:before="0" w:after="120"/>
        <w:jc w:val="both"/>
        <w:rPr>
          <w:b w:val="false"/>
          <w:i w:val="false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Georgia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zb.team/" TargetMode="External"/><Relationship Id="rId3" Type="http://schemas.openxmlformats.org/officeDocument/2006/relationships/hyperlink" Target="https://mgoprof.ru/wp-content/uploads/2023/07/&#1055;&#1086;&#1083;&#1086;&#1078;&#1077;&#1085;&#1080;&#1077;_&#1086;_&#1090;&#1091;&#1088;&#1085;&#1080;&#1088;&#1077;_&#1058;&#1088;&#1091;&#1076;_&#1047;&#1085;&#1072;&#1085;&#1080;&#1103;_&#1041;&#1077;&#1079;&#1086;&#1087;&#1072;&#1089;&#1085;&#1086;&#1089;&#1090;&#1100;.pdf" TargetMode="External"/><Relationship Id="rId4" Type="http://schemas.openxmlformats.org/officeDocument/2006/relationships/hyperlink" Target="https://rusafetyweek.com/" TargetMode="External"/><Relationship Id="rId5" Type="http://schemas.openxmlformats.org/officeDocument/2006/relationships/hyperlink" Target="https://www.eseur.ru/contact_info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LibreOffice/7.2.4.1$Linux_X86_64 LibreOffice_project/20$Build-1</Application>
  <AppVersion>15.0000</AppVersion>
  <Pages>1</Pages>
  <Words>196</Words>
  <Characters>1084</Characters>
  <CharactersWithSpaces>1245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2023-08-15T08:52:59Z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